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C1EA" w14:textId="77777777" w:rsidR="00BA4781" w:rsidRPr="00BA4781" w:rsidRDefault="00BA4781" w:rsidP="00BA478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lv-LV"/>
        </w:rPr>
      </w:pPr>
      <w:r w:rsidRPr="00BA4781">
        <w:rPr>
          <w:rFonts w:ascii="Times New Roman" w:eastAsia="Calibri" w:hAnsi="Times New Roman" w:cs="Times New Roman"/>
          <w:b/>
          <w:caps/>
          <w:sz w:val="24"/>
          <w:szCs w:val="24"/>
          <w:lang w:eastAsia="lv-LV"/>
        </w:rPr>
        <w:t>Paskaidrojuma raksts</w:t>
      </w:r>
    </w:p>
    <w:p w14:paraId="5FE5F868" w14:textId="77777777" w:rsidR="00704125" w:rsidRPr="00BA4781" w:rsidRDefault="00704125" w:rsidP="00704125">
      <w:pPr>
        <w:spacing w:after="0" w:line="254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</w:pPr>
      <w:r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 xml:space="preserve">Madonas novada pašvaldības </w:t>
      </w:r>
    </w:p>
    <w:p w14:paraId="14779E8D" w14:textId="3AC6F179" w:rsidR="00704125" w:rsidRPr="00BA4781" w:rsidRDefault="00704125" w:rsidP="00704125">
      <w:pPr>
        <w:spacing w:after="0" w:line="254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</w:pPr>
      <w:r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202</w:t>
      </w:r>
      <w:r w:rsidR="00B70786"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5</w:t>
      </w:r>
      <w:r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. gada</w:t>
      </w:r>
      <w:r w:rsidR="00450149"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 xml:space="preserve"> </w:t>
      </w:r>
      <w:r w:rsidR="00BA4781"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27. marta</w:t>
      </w:r>
      <w:r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 xml:space="preserve"> saistošajiem noteikumiem Nr. </w:t>
      </w:r>
      <w:r w:rsidR="00BA4781"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6</w:t>
      </w:r>
    </w:p>
    <w:p w14:paraId="18E9B4EB" w14:textId="40719F89" w:rsidR="00AB67F4" w:rsidRPr="00BA4781" w:rsidRDefault="00704125" w:rsidP="005E0AF4">
      <w:pPr>
        <w:spacing w:after="0" w:line="254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</w:pPr>
      <w:bookmarkStart w:id="0" w:name="_Hlk148985617"/>
      <w:r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“</w:t>
      </w:r>
      <w:r w:rsidR="005E0AF4"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Grozījum</w:t>
      </w:r>
      <w:r w:rsidR="00B8446E"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>i</w:t>
      </w:r>
      <w:r w:rsidR="005E0AF4" w:rsidRPr="00BA4781">
        <w:rPr>
          <w:rFonts w:ascii="Times New Roman" w:eastAsia="Franklin Gothic Book" w:hAnsi="Times New Roman" w:cs="Times New Roman"/>
          <w:b/>
          <w:sz w:val="24"/>
          <w:szCs w:val="24"/>
          <w:lang w:eastAsia="lv-LV"/>
        </w:rPr>
        <w:t xml:space="preserve"> Madonas novada pašvaldības 2022. gada 23. augusta saistošajos noteikumos Nr. 29 “Par ielu tirdzniecību un tirgus statusa piešķiršanas kārtību Madonas novadā”</w:t>
      </w:r>
    </w:p>
    <w:bookmarkEnd w:id="0"/>
    <w:tbl>
      <w:tblPr>
        <w:tblW w:w="937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  <w:gridCol w:w="20"/>
      </w:tblGrid>
      <w:tr w:rsidR="00704125" w:rsidRPr="00C87418" w14:paraId="39DA058B" w14:textId="77777777" w:rsidTr="00CD58FE">
        <w:trPr>
          <w:tblCellSpacing w:w="0" w:type="dxa"/>
        </w:trPr>
        <w:tc>
          <w:tcPr>
            <w:tcW w:w="9355" w:type="dxa"/>
            <w:shd w:val="clear" w:color="auto" w:fill="FFFFFF"/>
            <w:hideMark/>
          </w:tcPr>
          <w:p w14:paraId="4BBBF7C0" w14:textId="77777777" w:rsidR="00704125" w:rsidRPr="00C87418" w:rsidRDefault="00704125" w:rsidP="00B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4"/>
                <w:szCs w:val="24"/>
                <w:lang w:eastAsia="lv-LV"/>
              </w:rPr>
            </w:pPr>
          </w:p>
          <w:tbl>
            <w:tblPr>
              <w:tblW w:w="16009" w:type="dxa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04"/>
              <w:gridCol w:w="6945"/>
              <w:gridCol w:w="6660"/>
            </w:tblGrid>
            <w:tr w:rsidR="00CD58FE" w:rsidRPr="00C87418" w14:paraId="1219260A" w14:textId="120D5E96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051C6F6C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Paskaidrojuma raksta sadaļas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14:paraId="2EEB4093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  <w:t>Norādāmā informācija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25F25E3C" w14:textId="77777777" w:rsidR="00CD58FE" w:rsidRPr="00C87418" w:rsidRDefault="00CD58FE" w:rsidP="00B925F9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414142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198B10A2" w14:textId="5E15F10C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9D510EB" w14:textId="4AE971BE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mērķis un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izdošanas nepieciešamības pamatojums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C338273" w14:textId="507C556E" w:rsidR="00DA7D65" w:rsidRDefault="00DA7D65" w:rsidP="00B70786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Madonas novada pašvaldība </w:t>
                  </w:r>
                  <w:r w:rsidRPr="0051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2022. gada 23. august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ā izdevusi </w:t>
                  </w:r>
                  <w:r w:rsidRPr="0051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saistošos noteikum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us</w:t>
                  </w:r>
                  <w:r w:rsidRPr="0051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 29 “</w:t>
                  </w:r>
                  <w:r w:rsidRPr="00AA037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 ielu tirdzniecību un tirgus statusa piešķiršanas kārtību Madonas novadā</w:t>
                  </w:r>
                  <w:r w:rsidRPr="0051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(turpmāk – saistošie noteikumi Nr.29), kuru izdošanas tiesiskajā pamatojumā dota atsauce uz likuma “Par pašvaldībām” 43. panta pirmās daļas 3.punktu, likuma “Par nodokļiem un nodevām” 12. panta pirmās daļas 4.punktu, </w:t>
                  </w:r>
                  <w:r w:rsidRPr="00512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Ministru kabineta 2010. gada 12. maija noteikumu Nr. 440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“Noteikumi par tirdzniecības veidiem, kas saskaņojami ar pašvaldību, un tirdzniecības organizēšanas kārtību” 8. un 9.punktu,  Alkoholisko dzērienu aprites likuma 8.panta pirmo, trešo un ceturto daļu.</w:t>
                  </w:r>
                </w:p>
                <w:p w14:paraId="0050098D" w14:textId="6A107E95" w:rsidR="00CD58FE" w:rsidRPr="00887649" w:rsidRDefault="00DA7D65" w:rsidP="00043406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Lai gan spēku zaudējušā likuma “Par pašvaldībām” tiesību norma ir norādīta saistošo noteikumu izdošanas tiesiskajā pamatojumā, taču tā nav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saistošo noteikumu Nr.29 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pilnvarojoša norma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jo 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uz minētās normas pamata konkrēto </w:t>
                  </w:r>
                  <w:r w:rsidR="00614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aistošo noteikumu</w:t>
                  </w:r>
                  <w:r w:rsidR="00614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Nr.29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regulējums nav izstrādāts nedz pilnībā, nedz kādā tā daļā, </w:t>
                  </w:r>
                  <w:r w:rsidR="00614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tajos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nav noteikta administratīvā atbildība par saistošo noteikumu pārkāpšanu, ja tāda nav paredzēt</w:t>
                  </w:r>
                  <w:r w:rsidR="00D76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likumos. Š</w:t>
                  </w:r>
                  <w:r w:rsidR="00D76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ajā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gadījumā pašvaldība veic grozījumus </w:t>
                  </w:r>
                  <w:r w:rsidR="00614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aistošo noteikumu</w:t>
                  </w:r>
                  <w:r w:rsidR="006148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Nr.29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izdošanas tiesiskajā pamatojumā, izdodot saistošos noteikumus.</w:t>
                  </w:r>
                  <w:r w:rsidR="00D7640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Saistošo noteikumu Nr.29 grozīšanai izstrādāts saistošo noteikumu projekts, paredzot svītrot no saistošo noteikumu Nr.29 izdošanas tiesiskā pamatojuma 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spēku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7D65">
                    <w:rPr>
                      <w:rFonts w:ascii="Times New Roman" w:hAnsi="Times New Roman" w:cs="Times New Roman"/>
                      <w:sz w:val="24"/>
                      <w:szCs w:val="24"/>
                    </w:rPr>
                    <w:t>zaudējušā likuma “Par pašvaldībām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 43. panta pirmās daļas 3.punktu</w:t>
                  </w:r>
                  <w:r w:rsidR="00B84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bookmarkStart w:id="1" w:name="_Hlk192781004"/>
                  <w:r w:rsidR="006F2A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un, </w:t>
                  </w:r>
                  <w:r w:rsidR="00B84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ievērojot to, ka pašvaldības kārtībniekus ir aizstājusi izveidotā pašvaldības policija, vienlaikus precizēta saistošo noteikumu 66.punkta redakcija, tajā vārdu “kārtībnieki”  aizstājot ar vārdu “policija”.</w:t>
                  </w:r>
                  <w:bookmarkEnd w:id="1"/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ACD3D9E" w14:textId="77777777" w:rsidR="00CD58FE" w:rsidRPr="00442CD5" w:rsidRDefault="00CD58FE" w:rsidP="00572594">
                  <w:pPr>
                    <w:spacing w:after="0"/>
                    <w:ind w:left="181" w:right="159" w:firstLine="28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415353BD" w14:textId="7EC18B3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709E95A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fiskālā ietekme uz pašvaldības budžetu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796DAC4" w14:textId="51070901" w:rsidR="00CD58FE" w:rsidRPr="00C87418" w:rsidRDefault="00CD58FE" w:rsidP="00D54051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Saistošo noteikumu īstenošanai </w:t>
                  </w:r>
                  <w:r w:rsidR="00D54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nav ietekmes uz pašvaldības budžetu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206E5B8" w14:textId="77777777" w:rsidR="00CD58FE" w:rsidRPr="00C87418" w:rsidRDefault="00CD58FE" w:rsidP="00980750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58CA3337" w14:textId="3DA79FC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4C05EE4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sociālā ietekme, ietekme uz vidi, iedzīvotāju veselību, uzņēmējdarbības vidi pašvaldības teritorijā, kā arī plānotā regulējuma ietekme uz konkurenci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3AC4843" w14:textId="5C4A3C73" w:rsidR="00D54051" w:rsidRDefault="00D54051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Saistošajiem noteikumiem nav s</w:t>
                  </w:r>
                  <w:r w:rsidR="00CD58FE"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ociālā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</w:t>
                  </w:r>
                  <w:r w:rsidR="00CD58FE"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ietekme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s, i</w:t>
                  </w:r>
                  <w:r w:rsidR="00CD58FE" w:rsidRPr="00023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etekme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</w:t>
                  </w:r>
                  <w:r w:rsidR="00CD58FE" w:rsidRPr="000236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uz vidi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, </w:t>
                  </w:r>
                  <w:r w:rsidR="00CD58FE"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uz iedzīvotāju veselību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, </w:t>
                  </w:r>
                  <w:r w:rsidR="00CD58FE"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uz uzņēmējdarbības vidi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, ne arī tie ietekmē konkurenci.</w:t>
                  </w:r>
                </w:p>
                <w:p w14:paraId="0C45473A" w14:textId="054C544A" w:rsidR="00CD58FE" w:rsidRPr="00C87418" w:rsidRDefault="00CD58FE" w:rsidP="00115E55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2A990A0" w14:textId="77777777" w:rsidR="00CD58FE" w:rsidRPr="00C87418" w:rsidRDefault="00CD58FE" w:rsidP="00F00DE4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6944E345" w14:textId="1E1E2338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01BB931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Saistošo noteikumu ietekme uz </w:t>
                  </w: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administratīvajām procedūrām un to izmaksām gan attiecībā uz saimnieciskās darbības veicējiem, gan fiziskajām personām un nevalstiskā sektora organizācijām, gan budžeta finansētām institūcijām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62BD4CB4" w14:textId="7067E130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Saistoš</w:t>
                  </w:r>
                  <w:r w:rsidR="00D54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ajiem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noteikumi neietekmē līdzšinējās administratīvās procedūras. Netiek mainīta kārtība, kādā tiek sniegti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pakalpojumi. </w:t>
                  </w:r>
                </w:p>
                <w:p w14:paraId="229C8271" w14:textId="68DC5C49" w:rsidR="00CD58FE" w:rsidRPr="00C87418" w:rsidRDefault="00CD58FE" w:rsidP="00115E55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av paredzamas papildu administratīvo procedūru izmaksas.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539CDB3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17326120" w14:textId="159501E7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2CFAD14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ietekme uz pašvaldības funkcijām un cilvēkresursiem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8E37B3D" w14:textId="6E3AE4CB" w:rsidR="00D54051" w:rsidRDefault="00D54051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Saistošie noteikumi nodrošina tiesisku Saistošo noteikumu Nr.29 izdošanas pamatojumu, tie nemaina tiesiskajā pamatojumā atsauci uz citiem normatīvajiem aktiem, ne arī saistošo noteikumu saturu.</w:t>
                  </w:r>
                </w:p>
                <w:p w14:paraId="70E8347C" w14:textId="1619546E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izpild</w:t>
                  </w:r>
                  <w:r w:rsidR="00D54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nodrošinā</w:t>
                  </w:r>
                  <w:r w:rsidR="00D540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pašvaldības esošie cilvēkresursi.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076C566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70ED2273" w14:textId="377FA2A9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02C4C7A5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izpildes nodrošināšana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22BAF33" w14:textId="30A3A5D2" w:rsidR="00CD58FE" w:rsidRPr="00C87418" w:rsidRDefault="00D54051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Saistošo noteikumu izpild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i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nodrošinā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pašvaldības esošie cilvēkresursi.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Saistošo noteikumu izpilde saistīta tikai ar </w:t>
                  </w:r>
                  <w:r w:rsidR="00614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sabiedrības viedokļa noskaidrošanu, nosūtīšanu ministrijai atzinuma sniegšanai un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izslu</w:t>
                  </w:r>
                  <w:r w:rsidR="00614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dināšanu. 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690079C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28A6B6B6" w14:textId="4E80B9D2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544F8E56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prasību un izmaksu samērīgumu pret ieguvumiem, ko sniedz mērķa sasniegšana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0B145D20" w14:textId="70770B48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Saistošie noteikumi ir piemēroti iecerētā mērķa sasniegšanai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– </w:t>
                  </w:r>
                  <w:r w:rsidR="00614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nodrošināt to tiesisku izdošanas pamatojumu.</w:t>
                  </w:r>
                </w:p>
                <w:p w14:paraId="27454CF9" w14:textId="77777777" w:rsidR="00CD58FE" w:rsidRPr="00C87418" w:rsidRDefault="00CD58FE" w:rsidP="00B925F9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B659870" w14:textId="77777777" w:rsidR="00CD58FE" w:rsidRPr="00C87418" w:rsidRDefault="00CD58FE" w:rsidP="002C128D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CD58FE" w:rsidRPr="00C87418" w14:paraId="3EFD50E9" w14:textId="4395D0C9" w:rsidTr="00CD58FE">
              <w:tc>
                <w:tcPr>
                  <w:tcW w:w="751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1EBC3E2F" w14:textId="77777777" w:rsidR="00CD58FE" w:rsidRPr="00C87418" w:rsidRDefault="00CD58FE" w:rsidP="000A0B6C">
                  <w:pPr>
                    <w:spacing w:before="195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7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Saistošo noteikumu izstrādes gaitā veiktās konsultācijas ar privātpersonām, saņemtais sabiedrības viedoklis</w:t>
                  </w:r>
                </w:p>
              </w:tc>
              <w:tc>
                <w:tcPr>
                  <w:tcW w:w="2169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36AA514A" w14:textId="633E718D" w:rsidR="00CD58FE" w:rsidRPr="00C87418" w:rsidRDefault="00CD58FE" w:rsidP="00E140E1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Atbilstoši </w:t>
                  </w:r>
                  <w:hyperlink r:id="rId7" w:tgtFrame="_blank" w:history="1">
                    <w:r w:rsidRPr="00C8741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lv-LV"/>
                      </w:rPr>
                      <w:t>Pašvaldību likuma</w:t>
                    </w:r>
                  </w:hyperlink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 46. panta trešajai daļai, lai informētu sabiedrību par </w:t>
                  </w:r>
                  <w:r w:rsidR="006148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aistošo noteikumu projektu un dotu iespēju iedzīvotājiem izteikt viedokli, Saistošo noteikumu </w:t>
                  </w:r>
                  <w:r w:rsidR="003703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grozījumu 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projekts no 202</w:t>
                  </w:r>
                  <w:r w:rsidR="00B70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  <w:r w:rsidRPr="00C874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. </w:t>
                  </w:r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gada </w:t>
                  </w:r>
                  <w:r w:rsidR="00D7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19</w:t>
                  </w:r>
                  <w:r w:rsidR="00B707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.</w:t>
                  </w:r>
                  <w:r w:rsidR="00D7640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februāra līdz 12.martam </w:t>
                  </w:r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publicēts pašvaldības tīmekļa vietnē www.madona.lv sadaļas “Dokumenti” </w:t>
                  </w:r>
                  <w:proofErr w:type="spellStart"/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apakšsadaļā</w:t>
                  </w:r>
                  <w:proofErr w:type="spellEnd"/>
                  <w:r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“Saistošo noteikumu projekti”.</w:t>
                  </w:r>
                  <w:r w:rsidR="00634ADB" w:rsidRPr="00634A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634ADB" w:rsidRPr="00634ADB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Publikācijā noteiktajā termiņā priekšlikumi </w:t>
                  </w:r>
                  <w:r w:rsidR="00D76406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>nav</w:t>
                  </w:r>
                  <w:r w:rsidR="00634ADB" w:rsidRPr="00634ADB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14:ligatures w14:val="standardContextual"/>
                    </w:rPr>
                    <w:t xml:space="preserve"> saņemti.</w:t>
                  </w:r>
                </w:p>
              </w:tc>
              <w:tc>
                <w:tcPr>
                  <w:tcW w:w="208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</w:tcPr>
                <w:p w14:paraId="65778F86" w14:textId="77777777" w:rsidR="00CD58FE" w:rsidRPr="00C87418" w:rsidRDefault="00CD58FE" w:rsidP="00E140E1">
                  <w:pPr>
                    <w:spacing w:after="0" w:line="240" w:lineRule="auto"/>
                    <w:ind w:left="125" w:right="301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1715C9FF" w14:textId="77777777" w:rsidR="00704125" w:rsidRPr="00C87418" w:rsidRDefault="00704125" w:rsidP="00B925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39F2FCD3" w14:textId="77777777" w:rsidR="00704125" w:rsidRPr="00C87418" w:rsidRDefault="00704125" w:rsidP="00B92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</w:pPr>
            <w:r w:rsidRPr="00C87418">
              <w:rPr>
                <w:rFonts w:ascii="Arial" w:eastAsia="Times New Roman" w:hAnsi="Arial" w:cs="Arial"/>
                <w:color w:val="000000"/>
                <w:sz w:val="24"/>
                <w:szCs w:val="24"/>
                <w:lang w:eastAsia="lv-LV"/>
              </w:rPr>
              <w:lastRenderedPageBreak/>
              <w:t> </w:t>
            </w:r>
          </w:p>
        </w:tc>
      </w:tr>
    </w:tbl>
    <w:p w14:paraId="3AF94110" w14:textId="77777777" w:rsidR="00C7739E" w:rsidRDefault="00C7739E" w:rsidP="00C7739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7"/>
        <w:gridCol w:w="427"/>
      </w:tblGrid>
      <w:tr w:rsidR="00C7739E" w:rsidRPr="00C7739E" w14:paraId="18FF475C" w14:textId="77777777" w:rsidTr="00BA4781">
        <w:trPr>
          <w:tblCellSpacing w:w="0" w:type="dxa"/>
        </w:trPr>
        <w:tc>
          <w:tcPr>
            <w:tcW w:w="9300" w:type="dxa"/>
            <w:shd w:val="clear" w:color="auto" w:fill="FFFFFF"/>
          </w:tcPr>
          <w:p w14:paraId="1AF2B87E" w14:textId="77777777" w:rsidR="00C7739E" w:rsidRDefault="00C7739E" w:rsidP="00C7739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706199C" w14:textId="77777777" w:rsidR="00BA4781" w:rsidRDefault="00BA4781" w:rsidP="00C7739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CFF9A5" w14:textId="77777777" w:rsidR="00BA4781" w:rsidRDefault="00BA4781" w:rsidP="00C7739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11C3FE6" w14:textId="10F9B5E5" w:rsidR="00BA4781" w:rsidRPr="00BA4781" w:rsidRDefault="00BA4781" w:rsidP="00BA47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</w:pPr>
            <w:r w:rsidRPr="00BA4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Madonas novada pašvaldības domes priekšsēdētājs</w:t>
            </w:r>
            <w:r w:rsidRPr="00BA4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ab/>
            </w:r>
            <w:r w:rsidRPr="00BA4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ab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 xml:space="preserve">            </w:t>
            </w:r>
            <w:r w:rsidRPr="00BA4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ab/>
              <w:t>A. </w:t>
            </w:r>
            <w:proofErr w:type="spellStart"/>
            <w:r w:rsidRPr="00BA47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/>
              </w:rPr>
              <w:t>Lungevičs</w:t>
            </w:r>
            <w:proofErr w:type="spellEnd"/>
          </w:p>
          <w:p w14:paraId="2B35B63E" w14:textId="72DBEE06" w:rsidR="00BA4781" w:rsidRPr="00C7739E" w:rsidRDefault="00BA4781" w:rsidP="00C7739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0" w:type="dxa"/>
            <w:shd w:val="clear" w:color="auto" w:fill="FFFFFF"/>
            <w:vAlign w:val="center"/>
          </w:tcPr>
          <w:p w14:paraId="469D3B78" w14:textId="5718F0D5" w:rsidR="00C7739E" w:rsidRPr="00C7739E" w:rsidRDefault="00C7739E" w:rsidP="00C7739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1DAE574" w14:textId="77777777" w:rsidR="00C7739E" w:rsidRDefault="00C7739E" w:rsidP="00C7739E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C7739E" w:rsidSect="00BA4781">
      <w:footerReference w:type="default" r:id="rId8"/>
      <w:pgSz w:w="11906" w:h="16838"/>
      <w:pgMar w:top="1134" w:right="851" w:bottom="851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1F46F" w14:textId="77777777" w:rsidR="005D21BF" w:rsidRDefault="005D21BF" w:rsidP="00450149">
      <w:pPr>
        <w:spacing w:after="0" w:line="240" w:lineRule="auto"/>
      </w:pPr>
      <w:r>
        <w:separator/>
      </w:r>
    </w:p>
  </w:endnote>
  <w:endnote w:type="continuationSeparator" w:id="0">
    <w:p w14:paraId="3D4030FA" w14:textId="77777777" w:rsidR="005D21BF" w:rsidRDefault="005D21BF" w:rsidP="0045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E8218" w14:textId="0734145F" w:rsidR="00BA4781" w:rsidRPr="00BA4781" w:rsidRDefault="00BA4781" w:rsidP="00BA4781">
    <w:pPr>
      <w:pStyle w:val="Kjene"/>
      <w:jc w:val="center"/>
      <w:rPr>
        <w:rFonts w:ascii="Times New Roman" w:eastAsia="Times New Roman" w:hAnsi="Times New Roman" w:cs="Times New Roman"/>
        <w:sz w:val="24"/>
        <w:szCs w:val="24"/>
        <w:lang w:eastAsia="lv-LV"/>
      </w:rPr>
    </w:pPr>
    <w:r w:rsidRPr="00BA4781">
      <w:rPr>
        <w:rFonts w:ascii="Times New Roman" w:eastAsia="Times New Roman" w:hAnsi="Times New Roman" w:cs="Times New Roman"/>
        <w:sz w:val="20"/>
        <w:szCs w:val="20"/>
        <w:lang w:eastAsia="lv-LV"/>
      </w:rPr>
      <w:t>DOKUMENTS PARAKSTĪTS AR DROŠU ELEKTRONISKO PARAKSTU UN SATUR LAIKA ZĪMOGU</w:t>
    </w:r>
  </w:p>
  <w:p w14:paraId="0A5AF056" w14:textId="0C67DA73" w:rsidR="00BA4781" w:rsidRDefault="00BA4781">
    <w:pPr>
      <w:pStyle w:val="Kjene"/>
    </w:pPr>
  </w:p>
  <w:p w14:paraId="7AA8524A" w14:textId="77777777" w:rsidR="00450149" w:rsidRDefault="0045014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245DB" w14:textId="77777777" w:rsidR="005D21BF" w:rsidRDefault="005D21BF" w:rsidP="00450149">
      <w:pPr>
        <w:spacing w:after="0" w:line="240" w:lineRule="auto"/>
      </w:pPr>
      <w:r>
        <w:separator/>
      </w:r>
    </w:p>
  </w:footnote>
  <w:footnote w:type="continuationSeparator" w:id="0">
    <w:p w14:paraId="7669D5A7" w14:textId="77777777" w:rsidR="005D21BF" w:rsidRDefault="005D21BF" w:rsidP="00450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F6B80"/>
    <w:multiLevelType w:val="hybridMultilevel"/>
    <w:tmpl w:val="CF82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1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25"/>
    <w:rsid w:val="000236CE"/>
    <w:rsid w:val="00043406"/>
    <w:rsid w:val="00052B9E"/>
    <w:rsid w:val="000650D0"/>
    <w:rsid w:val="00086046"/>
    <w:rsid w:val="000961BF"/>
    <w:rsid w:val="00097D15"/>
    <w:rsid w:val="000A04CD"/>
    <w:rsid w:val="000A0B6C"/>
    <w:rsid w:val="000A139A"/>
    <w:rsid w:val="000B4FA7"/>
    <w:rsid w:val="000C7401"/>
    <w:rsid w:val="000D5911"/>
    <w:rsid w:val="001056DE"/>
    <w:rsid w:val="0011196C"/>
    <w:rsid w:val="00112BB7"/>
    <w:rsid w:val="00115E55"/>
    <w:rsid w:val="00125DE6"/>
    <w:rsid w:val="0013672C"/>
    <w:rsid w:val="00172C30"/>
    <w:rsid w:val="00181C7D"/>
    <w:rsid w:val="00197840"/>
    <w:rsid w:val="001A753E"/>
    <w:rsid w:val="001F1052"/>
    <w:rsid w:val="00276947"/>
    <w:rsid w:val="00282949"/>
    <w:rsid w:val="002A0927"/>
    <w:rsid w:val="002A331B"/>
    <w:rsid w:val="002B25E9"/>
    <w:rsid w:val="002B4C2F"/>
    <w:rsid w:val="002B6F4A"/>
    <w:rsid w:val="002C128D"/>
    <w:rsid w:val="002C3062"/>
    <w:rsid w:val="002D7A3C"/>
    <w:rsid w:val="002F3747"/>
    <w:rsid w:val="00324928"/>
    <w:rsid w:val="00326366"/>
    <w:rsid w:val="003703B1"/>
    <w:rsid w:val="00381436"/>
    <w:rsid w:val="00381A7F"/>
    <w:rsid w:val="00397946"/>
    <w:rsid w:val="003A0721"/>
    <w:rsid w:val="003A6269"/>
    <w:rsid w:val="003C3351"/>
    <w:rsid w:val="003C5514"/>
    <w:rsid w:val="003E2D44"/>
    <w:rsid w:val="003F3C05"/>
    <w:rsid w:val="00442CD5"/>
    <w:rsid w:val="00450149"/>
    <w:rsid w:val="00455A6F"/>
    <w:rsid w:val="004642AD"/>
    <w:rsid w:val="004852C5"/>
    <w:rsid w:val="004900F1"/>
    <w:rsid w:val="00495906"/>
    <w:rsid w:val="004E2BB0"/>
    <w:rsid w:val="004E722D"/>
    <w:rsid w:val="004F5E67"/>
    <w:rsid w:val="00511845"/>
    <w:rsid w:val="00527483"/>
    <w:rsid w:val="00557AEC"/>
    <w:rsid w:val="00572594"/>
    <w:rsid w:val="005945A1"/>
    <w:rsid w:val="005D21BF"/>
    <w:rsid w:val="005E0AF4"/>
    <w:rsid w:val="005E4908"/>
    <w:rsid w:val="0061480D"/>
    <w:rsid w:val="0062284D"/>
    <w:rsid w:val="00634ADB"/>
    <w:rsid w:val="006C3ACA"/>
    <w:rsid w:val="006D0E06"/>
    <w:rsid w:val="006F2A30"/>
    <w:rsid w:val="006F444F"/>
    <w:rsid w:val="00704125"/>
    <w:rsid w:val="00734A91"/>
    <w:rsid w:val="007949A0"/>
    <w:rsid w:val="007A4488"/>
    <w:rsid w:val="007A5D77"/>
    <w:rsid w:val="007B099F"/>
    <w:rsid w:val="007B7BE0"/>
    <w:rsid w:val="007C47B7"/>
    <w:rsid w:val="007C6B11"/>
    <w:rsid w:val="00810642"/>
    <w:rsid w:val="00830D1A"/>
    <w:rsid w:val="00844662"/>
    <w:rsid w:val="00853317"/>
    <w:rsid w:val="00863CD9"/>
    <w:rsid w:val="00887649"/>
    <w:rsid w:val="008B1B98"/>
    <w:rsid w:val="008C3FBC"/>
    <w:rsid w:val="00917573"/>
    <w:rsid w:val="00931FA5"/>
    <w:rsid w:val="0094141D"/>
    <w:rsid w:val="0095309F"/>
    <w:rsid w:val="009546DC"/>
    <w:rsid w:val="00963586"/>
    <w:rsid w:val="00980750"/>
    <w:rsid w:val="00993D9C"/>
    <w:rsid w:val="00997CDB"/>
    <w:rsid w:val="009D40DF"/>
    <w:rsid w:val="009E070E"/>
    <w:rsid w:val="00A11C3D"/>
    <w:rsid w:val="00A37F80"/>
    <w:rsid w:val="00A65609"/>
    <w:rsid w:val="00AB67F4"/>
    <w:rsid w:val="00AD3C97"/>
    <w:rsid w:val="00AD63FE"/>
    <w:rsid w:val="00B44D0F"/>
    <w:rsid w:val="00B53053"/>
    <w:rsid w:val="00B70786"/>
    <w:rsid w:val="00B80DC4"/>
    <w:rsid w:val="00B8446E"/>
    <w:rsid w:val="00B925F9"/>
    <w:rsid w:val="00BA26E0"/>
    <w:rsid w:val="00BA4781"/>
    <w:rsid w:val="00BB0DFF"/>
    <w:rsid w:val="00BB7845"/>
    <w:rsid w:val="00BE02EF"/>
    <w:rsid w:val="00C31549"/>
    <w:rsid w:val="00C339D8"/>
    <w:rsid w:val="00C4604B"/>
    <w:rsid w:val="00C469D1"/>
    <w:rsid w:val="00C65B53"/>
    <w:rsid w:val="00C71578"/>
    <w:rsid w:val="00C7739E"/>
    <w:rsid w:val="00C87418"/>
    <w:rsid w:val="00CC37F5"/>
    <w:rsid w:val="00CD58FE"/>
    <w:rsid w:val="00CF499E"/>
    <w:rsid w:val="00D178C2"/>
    <w:rsid w:val="00D34221"/>
    <w:rsid w:val="00D5237E"/>
    <w:rsid w:val="00D54051"/>
    <w:rsid w:val="00D76406"/>
    <w:rsid w:val="00D8753F"/>
    <w:rsid w:val="00DA7D65"/>
    <w:rsid w:val="00E065B1"/>
    <w:rsid w:val="00E140E1"/>
    <w:rsid w:val="00E412E5"/>
    <w:rsid w:val="00E528E1"/>
    <w:rsid w:val="00E52E2C"/>
    <w:rsid w:val="00E95053"/>
    <w:rsid w:val="00EA441E"/>
    <w:rsid w:val="00F00DE4"/>
    <w:rsid w:val="00F51350"/>
    <w:rsid w:val="00F56B45"/>
    <w:rsid w:val="00FB1B2E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F2DA"/>
  <w15:docId w15:val="{6EB935E5-ECCB-4337-971F-73985EA1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412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04125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A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E4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945A1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1A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3E2D44"/>
    <w:rPr>
      <w:i/>
      <w:iCs/>
    </w:rPr>
  </w:style>
  <w:style w:type="paragraph" w:customStyle="1" w:styleId="tv213">
    <w:name w:val="tv213"/>
    <w:basedOn w:val="Parasts"/>
    <w:uiPriority w:val="99"/>
    <w:rsid w:val="006D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50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0149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50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0149"/>
    <w:rPr>
      <w:kern w:val="0"/>
      <w14:ligatures w14:val="none"/>
    </w:rPr>
  </w:style>
  <w:style w:type="character" w:customStyle="1" w:styleId="markedcontent">
    <w:name w:val="markedcontent"/>
    <w:basedOn w:val="Noklusjumarindkopasfonts"/>
    <w:rsid w:val="00941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336956-pasvaldibu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2778</Words>
  <Characters>1584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Jurists</dc:creator>
  <cp:lastModifiedBy>Lietvediba</cp:lastModifiedBy>
  <cp:revision>5</cp:revision>
  <dcterms:created xsi:type="dcterms:W3CDTF">2025-03-13T15:51:00Z</dcterms:created>
  <dcterms:modified xsi:type="dcterms:W3CDTF">2025-03-28T06:34:00Z</dcterms:modified>
</cp:coreProperties>
</file>